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07208D" w:rsidTr="0007208D">
        <w:trPr>
          <w:trHeight w:val="841"/>
        </w:trPr>
        <w:tc>
          <w:tcPr>
            <w:tcW w:w="4649" w:type="dxa"/>
            <w:shd w:val="clear" w:color="auto" w:fill="008E9C"/>
            <w:vAlign w:val="center"/>
          </w:tcPr>
          <w:p w:rsidR="0007208D" w:rsidRPr="0007208D" w:rsidRDefault="0007208D" w:rsidP="0007208D">
            <w:pPr>
              <w:jc w:val="center"/>
              <w:rPr>
                <w:color w:val="FFFFFF" w:themeColor="background1"/>
                <w:sz w:val="32"/>
                <w:szCs w:val="32"/>
              </w:rPr>
            </w:pPr>
            <w:bookmarkStart w:id="0" w:name="_GoBack"/>
            <w:bookmarkEnd w:id="0"/>
            <w:r w:rsidRPr="0007208D">
              <w:rPr>
                <w:color w:val="FFFFFF" w:themeColor="background1"/>
                <w:sz w:val="32"/>
                <w:szCs w:val="32"/>
              </w:rPr>
              <w:t>Sense of Belonging</w:t>
            </w:r>
          </w:p>
        </w:tc>
        <w:tc>
          <w:tcPr>
            <w:tcW w:w="4649" w:type="dxa"/>
            <w:shd w:val="clear" w:color="auto" w:fill="3C185B"/>
            <w:vAlign w:val="center"/>
          </w:tcPr>
          <w:p w:rsidR="0007208D" w:rsidRPr="0007208D" w:rsidRDefault="0007208D" w:rsidP="0007208D">
            <w:pPr>
              <w:jc w:val="center"/>
              <w:rPr>
                <w:color w:val="FFFFFF" w:themeColor="background1"/>
                <w:sz w:val="32"/>
                <w:szCs w:val="32"/>
              </w:rPr>
            </w:pPr>
            <w:r>
              <w:rPr>
                <w:color w:val="FFFFFF" w:themeColor="background1"/>
                <w:sz w:val="32"/>
                <w:szCs w:val="32"/>
              </w:rPr>
              <w:t>Inclusion</w:t>
            </w:r>
          </w:p>
        </w:tc>
        <w:tc>
          <w:tcPr>
            <w:tcW w:w="4650" w:type="dxa"/>
            <w:shd w:val="clear" w:color="auto" w:fill="2C55A2"/>
            <w:vAlign w:val="center"/>
          </w:tcPr>
          <w:p w:rsidR="0007208D" w:rsidRPr="0007208D" w:rsidRDefault="0007208D" w:rsidP="0007208D">
            <w:pPr>
              <w:jc w:val="center"/>
              <w:rPr>
                <w:color w:val="FFFFFF" w:themeColor="background1"/>
                <w:sz w:val="32"/>
                <w:szCs w:val="32"/>
              </w:rPr>
            </w:pPr>
            <w:r>
              <w:rPr>
                <w:color w:val="FFFFFF" w:themeColor="background1"/>
                <w:sz w:val="32"/>
                <w:szCs w:val="32"/>
              </w:rPr>
              <w:t>Communities</w:t>
            </w:r>
          </w:p>
        </w:tc>
      </w:tr>
      <w:tr w:rsidR="0007208D" w:rsidTr="0007208D">
        <w:trPr>
          <w:trHeight w:val="7513"/>
        </w:trPr>
        <w:tc>
          <w:tcPr>
            <w:tcW w:w="4649" w:type="dxa"/>
          </w:tcPr>
          <w:p w:rsidR="0007208D" w:rsidRPr="0007208D" w:rsidRDefault="0007208D" w:rsidP="0007208D">
            <w:pPr>
              <w:jc w:val="center"/>
              <w:rPr>
                <w:b/>
                <w:bCs/>
                <w:color w:val="008E9C"/>
              </w:rPr>
            </w:pPr>
            <w:r w:rsidRPr="0007208D">
              <w:rPr>
                <w:b/>
                <w:bCs/>
                <w:color w:val="008E9C"/>
              </w:rPr>
              <w:t>How do students identify a sense of belonging on campus?</w:t>
            </w:r>
          </w:p>
          <w:p w:rsidR="0007208D" w:rsidRPr="0007208D" w:rsidRDefault="0007208D" w:rsidP="0007208D">
            <w:pPr>
              <w:rPr>
                <w:b/>
                <w:bCs/>
              </w:rPr>
            </w:pPr>
          </w:p>
          <w:p w:rsidR="0007208D" w:rsidRDefault="0007208D" w:rsidP="0007208D">
            <w:r w:rsidRPr="0007208D">
              <w:t xml:space="preserve">Students feeling accepted, respected, included and supported, which may have an influence on the students’ motivation and dedication to their studies (Goodenow, 1993), reflect sense of belonging in an academic environment. Tinto’s Model on sense of belonging (1975; 1988; 1993; 1997; 1998) recognises three points, which influences the student journey; </w:t>
            </w:r>
            <w:r w:rsidRPr="0007208D">
              <w:rPr>
                <w:b/>
                <w:bCs/>
                <w:color w:val="008E9C"/>
              </w:rPr>
              <w:t>pre-college characteristics</w:t>
            </w:r>
            <w:r w:rsidRPr="0007208D">
              <w:t xml:space="preserve">, </w:t>
            </w:r>
            <w:r w:rsidRPr="0007208D">
              <w:rPr>
                <w:b/>
                <w:bCs/>
                <w:color w:val="008E9C"/>
              </w:rPr>
              <w:t>college experiences</w:t>
            </w:r>
            <w:r w:rsidRPr="0007208D">
              <w:t xml:space="preserve">, and </w:t>
            </w:r>
            <w:r w:rsidRPr="0007208D">
              <w:rPr>
                <w:b/>
                <w:bCs/>
                <w:color w:val="008E9C"/>
              </w:rPr>
              <w:t>students’ out-of-class experiences</w:t>
            </w:r>
            <w:r w:rsidRPr="0007208D">
              <w:rPr>
                <w:b/>
                <w:bCs/>
              </w:rPr>
              <w:t xml:space="preserve">. </w:t>
            </w:r>
            <w:r w:rsidRPr="0007208D">
              <w:t>Students who engage in formal and informal integration (academic and social) are less likely to withdraw from University.</w:t>
            </w:r>
          </w:p>
          <w:p w:rsidR="0007208D" w:rsidRPr="0007208D" w:rsidRDefault="0007208D" w:rsidP="0007208D"/>
          <w:p w:rsidR="0007208D" w:rsidRPr="0007208D" w:rsidRDefault="0007208D" w:rsidP="0007208D">
            <w:r w:rsidRPr="0007208D">
              <w:t>A sense of belonging can be established through physical environments (e.g. classroom or a café), emotional (e.g. social groups) and digital (e.g. social media). Reflecting on Tinto’s model, the three influences may vary on the students’ personal sense of belonging based on experiences. However, opportunities for integration should be made available, and can therefore established through working in partnership with students to understand the expectations and perception of sense of belonging in Higher Education.</w:t>
            </w:r>
          </w:p>
          <w:p w:rsidR="0007208D" w:rsidRDefault="0007208D"/>
        </w:tc>
        <w:tc>
          <w:tcPr>
            <w:tcW w:w="4649" w:type="dxa"/>
          </w:tcPr>
          <w:p w:rsidR="0007208D" w:rsidRPr="0007208D" w:rsidRDefault="0007208D" w:rsidP="0007208D">
            <w:pPr>
              <w:jc w:val="center"/>
              <w:rPr>
                <w:b/>
                <w:bCs/>
                <w:color w:val="3C185B"/>
              </w:rPr>
            </w:pPr>
            <w:r w:rsidRPr="0007208D">
              <w:rPr>
                <w:b/>
                <w:bCs/>
                <w:color w:val="3C185B"/>
              </w:rPr>
              <w:t>Are we truly inclusive if we are particularly focusing on cohorts of students by ‘labelling’ their diversity?</w:t>
            </w:r>
          </w:p>
          <w:p w:rsidR="0007208D" w:rsidRPr="0007208D" w:rsidRDefault="0007208D" w:rsidP="0007208D"/>
          <w:p w:rsidR="0007208D" w:rsidRDefault="0007208D" w:rsidP="0007208D">
            <w:r w:rsidRPr="0007208D">
              <w:t xml:space="preserve">As suggested by Gibson et al (2016), institutional labelling of students, based on their diverse backgrounds, can risk being restrictive and excluding to students rather than embracing their strengths and needs. Students do not wish to be ‘different’ but recognised as an individual (Hockings, 2010) that wants to strive equally and academically. Furthermore, the portrayal and categorisation of a ‘traditional’ and ‘non-traditional’ student is not something that we can assume ‘normalcy’; “… this sense of normalcy reproduces thinking that non-traditional students are non-white, working class and/or disabled.” (Madriaga et al, 2011:901). </w:t>
            </w:r>
          </w:p>
          <w:p w:rsidR="0007208D" w:rsidRPr="0007208D" w:rsidRDefault="0007208D" w:rsidP="0007208D"/>
          <w:p w:rsidR="0007208D" w:rsidRPr="0007208D" w:rsidRDefault="0007208D" w:rsidP="0007208D">
            <w:r w:rsidRPr="0007208D">
              <w:t xml:space="preserve">A different approach to inclusive practice could be implemented through Thomas and May’s (2010) Four Pronged Typology approach, which identifies the students’ diversity dimensions as; </w:t>
            </w:r>
            <w:r w:rsidRPr="0007208D">
              <w:rPr>
                <w:b/>
                <w:bCs/>
                <w:color w:val="3C185B"/>
              </w:rPr>
              <w:t>Educational</w:t>
            </w:r>
            <w:r w:rsidRPr="0007208D">
              <w:t xml:space="preserve">, </w:t>
            </w:r>
            <w:r w:rsidRPr="0007208D">
              <w:rPr>
                <w:b/>
                <w:bCs/>
                <w:color w:val="3C185B"/>
              </w:rPr>
              <w:t>Dispositional</w:t>
            </w:r>
            <w:r w:rsidRPr="0007208D">
              <w:t xml:space="preserve">, </w:t>
            </w:r>
            <w:r w:rsidRPr="0007208D">
              <w:rPr>
                <w:b/>
                <w:bCs/>
                <w:color w:val="3C185B"/>
              </w:rPr>
              <w:t>Circumstantial</w:t>
            </w:r>
            <w:r w:rsidRPr="0007208D">
              <w:t xml:space="preserve"> and </w:t>
            </w:r>
            <w:r w:rsidRPr="0007208D">
              <w:rPr>
                <w:b/>
                <w:bCs/>
                <w:color w:val="3C185B"/>
              </w:rPr>
              <w:t>Cultural</w:t>
            </w:r>
            <w:r w:rsidRPr="0007208D">
              <w:t>. This inclusive approach proactively strives towards making higher education accessible, relevant and engaging to all students. (Thomas and May, 2010)</w:t>
            </w:r>
          </w:p>
          <w:p w:rsidR="0007208D" w:rsidRDefault="0007208D"/>
        </w:tc>
        <w:tc>
          <w:tcPr>
            <w:tcW w:w="4650" w:type="dxa"/>
          </w:tcPr>
          <w:p w:rsidR="0007208D" w:rsidRPr="0007208D" w:rsidRDefault="0007208D" w:rsidP="0007208D">
            <w:pPr>
              <w:jc w:val="center"/>
              <w:rPr>
                <w:b/>
                <w:bCs/>
                <w:color w:val="2C55A2"/>
              </w:rPr>
            </w:pPr>
            <w:r w:rsidRPr="0007208D">
              <w:rPr>
                <w:b/>
                <w:bCs/>
                <w:color w:val="2C55A2"/>
              </w:rPr>
              <w:t>How can we establish and develop communities on campus?</w:t>
            </w:r>
          </w:p>
          <w:p w:rsidR="0007208D" w:rsidRPr="0007208D" w:rsidRDefault="0007208D" w:rsidP="0007208D"/>
          <w:p w:rsidR="0007208D" w:rsidRPr="0007208D" w:rsidRDefault="0007208D" w:rsidP="0007208D">
            <w:r w:rsidRPr="0007208D">
              <w:t xml:space="preserve">Boyer (1990) establishes six principles to a campus community; </w:t>
            </w:r>
            <w:r w:rsidRPr="0007208D">
              <w:rPr>
                <w:b/>
                <w:bCs/>
                <w:color w:val="2C55A2"/>
              </w:rPr>
              <w:t>Purposeful</w:t>
            </w:r>
            <w:r w:rsidRPr="0007208D">
              <w:t xml:space="preserve">, </w:t>
            </w:r>
            <w:r w:rsidRPr="0007208D">
              <w:rPr>
                <w:b/>
                <w:bCs/>
                <w:color w:val="2C55A2"/>
              </w:rPr>
              <w:t>Open</w:t>
            </w:r>
            <w:r w:rsidRPr="0007208D">
              <w:t xml:space="preserve">, </w:t>
            </w:r>
            <w:r w:rsidRPr="0007208D">
              <w:rPr>
                <w:b/>
                <w:bCs/>
                <w:color w:val="2C55A2"/>
              </w:rPr>
              <w:t>Just</w:t>
            </w:r>
            <w:r w:rsidRPr="0007208D">
              <w:t xml:space="preserve">, </w:t>
            </w:r>
            <w:r w:rsidRPr="0007208D">
              <w:rPr>
                <w:b/>
                <w:bCs/>
                <w:color w:val="2C55A2"/>
              </w:rPr>
              <w:t>Disciplined</w:t>
            </w:r>
            <w:r w:rsidRPr="0007208D">
              <w:t xml:space="preserve">, </w:t>
            </w:r>
            <w:r w:rsidRPr="0007208D">
              <w:rPr>
                <w:b/>
                <w:bCs/>
                <w:color w:val="2C55A2"/>
              </w:rPr>
              <w:t>Caring</w:t>
            </w:r>
            <w:r w:rsidRPr="0007208D">
              <w:t xml:space="preserve"> and </w:t>
            </w:r>
            <w:r w:rsidRPr="0007208D">
              <w:rPr>
                <w:b/>
                <w:bCs/>
                <w:color w:val="2C55A2"/>
              </w:rPr>
              <w:t>Celebrative</w:t>
            </w:r>
            <w:r w:rsidRPr="0007208D">
              <w:t>. Each of these principles take into account how staff and students can establish an inclusive community through communication and actions among a diverse population. Academic and Social integration influences how communities among students form. For instance, the experience of sharing the curriculum can encourage students to spend more time in and out of the classroom, which can facilitate inclusive practice, such as study groups or volunteering programmes.</w:t>
            </w:r>
          </w:p>
          <w:p w:rsidR="0007208D" w:rsidRDefault="0007208D" w:rsidP="0007208D"/>
          <w:p w:rsidR="0007208D" w:rsidRPr="0007208D" w:rsidRDefault="0007208D" w:rsidP="0007208D">
            <w:r w:rsidRPr="0007208D">
              <w:t>To establish Learning Communities, there is a need to remove barriers, which restricts collaboration among Faculties and Services across University (Tinto, 1998). This includes staff and students working together in partnership and remove the gap between the intellectual and the social (Boyers, 1990).</w:t>
            </w:r>
          </w:p>
          <w:p w:rsidR="0007208D" w:rsidRDefault="0007208D"/>
        </w:tc>
      </w:tr>
      <w:tr w:rsidR="0007208D" w:rsidTr="0007208D">
        <w:trPr>
          <w:trHeight w:val="841"/>
        </w:trPr>
        <w:tc>
          <w:tcPr>
            <w:tcW w:w="4649" w:type="dxa"/>
            <w:shd w:val="clear" w:color="auto" w:fill="008E9C"/>
            <w:vAlign w:val="center"/>
          </w:tcPr>
          <w:p w:rsidR="0007208D" w:rsidRDefault="0007208D" w:rsidP="0007208D">
            <w:pPr>
              <w:jc w:val="center"/>
              <w:rPr>
                <w:color w:val="FFFFFF" w:themeColor="background1"/>
                <w:sz w:val="32"/>
                <w:szCs w:val="32"/>
              </w:rPr>
            </w:pPr>
            <w:r w:rsidRPr="0007208D">
              <w:rPr>
                <w:color w:val="FFFFFF" w:themeColor="background1"/>
                <w:sz w:val="32"/>
                <w:szCs w:val="32"/>
              </w:rPr>
              <w:lastRenderedPageBreak/>
              <w:t>Sense of Belonging</w:t>
            </w:r>
          </w:p>
          <w:p w:rsidR="00861256" w:rsidRPr="0007208D" w:rsidRDefault="00861256" w:rsidP="0007208D">
            <w:pPr>
              <w:jc w:val="center"/>
              <w:rPr>
                <w:color w:val="FFFFFF" w:themeColor="background1"/>
                <w:sz w:val="32"/>
                <w:szCs w:val="32"/>
              </w:rPr>
            </w:pPr>
            <w:r>
              <w:rPr>
                <w:color w:val="FFFFFF" w:themeColor="background1"/>
                <w:sz w:val="32"/>
                <w:szCs w:val="32"/>
              </w:rPr>
              <w:t>(Tinto, 1975+)</w:t>
            </w:r>
          </w:p>
        </w:tc>
        <w:tc>
          <w:tcPr>
            <w:tcW w:w="4649" w:type="dxa"/>
            <w:shd w:val="clear" w:color="auto" w:fill="3C185B"/>
            <w:vAlign w:val="center"/>
          </w:tcPr>
          <w:p w:rsidR="0007208D" w:rsidRDefault="0007208D" w:rsidP="0007208D">
            <w:pPr>
              <w:jc w:val="center"/>
              <w:rPr>
                <w:color w:val="FFFFFF" w:themeColor="background1"/>
                <w:sz w:val="32"/>
                <w:szCs w:val="32"/>
              </w:rPr>
            </w:pPr>
            <w:r>
              <w:rPr>
                <w:color w:val="FFFFFF" w:themeColor="background1"/>
                <w:sz w:val="32"/>
                <w:szCs w:val="32"/>
              </w:rPr>
              <w:t>Inclusion</w:t>
            </w:r>
          </w:p>
          <w:p w:rsidR="00861256" w:rsidRPr="0007208D" w:rsidRDefault="00861256" w:rsidP="0007208D">
            <w:pPr>
              <w:jc w:val="center"/>
              <w:rPr>
                <w:color w:val="FFFFFF" w:themeColor="background1"/>
                <w:sz w:val="32"/>
                <w:szCs w:val="32"/>
              </w:rPr>
            </w:pPr>
            <w:r>
              <w:rPr>
                <w:color w:val="FFFFFF" w:themeColor="background1"/>
                <w:sz w:val="32"/>
                <w:szCs w:val="32"/>
              </w:rPr>
              <w:t>(Thomas &amp; May, 2010)</w:t>
            </w:r>
          </w:p>
        </w:tc>
        <w:tc>
          <w:tcPr>
            <w:tcW w:w="4650" w:type="dxa"/>
            <w:shd w:val="clear" w:color="auto" w:fill="2C55A2"/>
            <w:vAlign w:val="center"/>
          </w:tcPr>
          <w:p w:rsidR="0007208D" w:rsidRDefault="0007208D" w:rsidP="0007208D">
            <w:pPr>
              <w:jc w:val="center"/>
              <w:rPr>
                <w:color w:val="FFFFFF" w:themeColor="background1"/>
                <w:sz w:val="32"/>
                <w:szCs w:val="32"/>
              </w:rPr>
            </w:pPr>
            <w:r>
              <w:rPr>
                <w:color w:val="FFFFFF" w:themeColor="background1"/>
                <w:sz w:val="32"/>
                <w:szCs w:val="32"/>
              </w:rPr>
              <w:t>Communities</w:t>
            </w:r>
          </w:p>
          <w:p w:rsidR="00861256" w:rsidRPr="0007208D" w:rsidRDefault="00861256" w:rsidP="0007208D">
            <w:pPr>
              <w:jc w:val="center"/>
              <w:rPr>
                <w:color w:val="FFFFFF" w:themeColor="background1"/>
                <w:sz w:val="32"/>
                <w:szCs w:val="32"/>
              </w:rPr>
            </w:pPr>
            <w:r>
              <w:rPr>
                <w:color w:val="FFFFFF" w:themeColor="background1"/>
                <w:sz w:val="32"/>
                <w:szCs w:val="32"/>
              </w:rPr>
              <w:t>(Boyer, 1990)</w:t>
            </w:r>
          </w:p>
        </w:tc>
      </w:tr>
      <w:tr w:rsidR="0007208D" w:rsidTr="00D845DE">
        <w:trPr>
          <w:trHeight w:val="7513"/>
        </w:trPr>
        <w:tc>
          <w:tcPr>
            <w:tcW w:w="4649" w:type="dxa"/>
            <w:vAlign w:val="center"/>
          </w:tcPr>
          <w:p w:rsidR="0007208D" w:rsidRPr="00D845DE" w:rsidRDefault="0007208D" w:rsidP="0092000A">
            <w:pPr>
              <w:jc w:val="center"/>
              <w:rPr>
                <w:b/>
                <w:bCs/>
              </w:rPr>
            </w:pPr>
          </w:p>
          <w:p w:rsidR="0007208D" w:rsidRPr="0092000A" w:rsidRDefault="00D845DE" w:rsidP="0092000A">
            <w:pPr>
              <w:jc w:val="center"/>
              <w:rPr>
                <w:b/>
                <w:bCs/>
                <w:color w:val="008E9C"/>
              </w:rPr>
            </w:pPr>
            <w:r w:rsidRPr="0092000A">
              <w:rPr>
                <w:b/>
                <w:bCs/>
                <w:color w:val="008E9C"/>
              </w:rPr>
              <w:t>Pre-College Characteristics</w:t>
            </w:r>
            <w:r w:rsidR="0092000A">
              <w:rPr>
                <w:b/>
                <w:bCs/>
                <w:color w:val="008E9C"/>
              </w:rPr>
              <w:t xml:space="preserve"> (Pre-arrival)</w:t>
            </w:r>
          </w:p>
          <w:p w:rsidR="00D845DE" w:rsidRPr="00D845DE" w:rsidRDefault="00D845DE" w:rsidP="0092000A">
            <w:pPr>
              <w:jc w:val="center"/>
            </w:pPr>
            <w:r w:rsidRPr="00D845DE">
              <w:t>Family background, skills and abilities, and prior schooling experiences</w:t>
            </w:r>
          </w:p>
          <w:p w:rsidR="00D845DE" w:rsidRPr="00D845DE" w:rsidRDefault="00D845DE" w:rsidP="0092000A">
            <w:pPr>
              <w:jc w:val="center"/>
            </w:pPr>
          </w:p>
          <w:p w:rsidR="00D845DE" w:rsidRPr="0092000A" w:rsidRDefault="00D845DE" w:rsidP="0092000A">
            <w:pPr>
              <w:jc w:val="center"/>
              <w:rPr>
                <w:b/>
                <w:bCs/>
                <w:color w:val="008E9C"/>
              </w:rPr>
            </w:pPr>
            <w:r w:rsidRPr="0092000A">
              <w:rPr>
                <w:b/>
                <w:bCs/>
                <w:color w:val="008E9C"/>
              </w:rPr>
              <w:t>College Experiences (Academic)</w:t>
            </w:r>
          </w:p>
          <w:p w:rsidR="00D845DE" w:rsidRPr="00D845DE" w:rsidRDefault="00D845DE" w:rsidP="0092000A">
            <w:pPr>
              <w:jc w:val="center"/>
            </w:pPr>
            <w:r w:rsidRPr="00D845DE">
              <w:t>Area of study, academic performance, and the amount and quality of student – faculty interactions</w:t>
            </w:r>
          </w:p>
          <w:p w:rsidR="00D845DE" w:rsidRPr="00D845DE" w:rsidRDefault="00D845DE" w:rsidP="0092000A">
            <w:pPr>
              <w:jc w:val="center"/>
            </w:pPr>
          </w:p>
          <w:p w:rsidR="00D845DE" w:rsidRPr="0092000A" w:rsidRDefault="00D845DE" w:rsidP="0092000A">
            <w:pPr>
              <w:jc w:val="center"/>
              <w:rPr>
                <w:b/>
                <w:bCs/>
                <w:color w:val="008E9C"/>
              </w:rPr>
            </w:pPr>
            <w:r w:rsidRPr="0092000A">
              <w:rPr>
                <w:b/>
                <w:bCs/>
                <w:color w:val="008E9C"/>
              </w:rPr>
              <w:t>Students’ out-of-class Experiences (Social)</w:t>
            </w:r>
          </w:p>
          <w:p w:rsidR="00D845DE" w:rsidRPr="00D845DE" w:rsidRDefault="00D845DE" w:rsidP="0092000A">
            <w:pPr>
              <w:jc w:val="center"/>
            </w:pPr>
            <w:r w:rsidRPr="00D845DE">
              <w:t>Participation in extra-curricular experiences (including paid work) and student – student interactions</w:t>
            </w:r>
          </w:p>
        </w:tc>
        <w:tc>
          <w:tcPr>
            <w:tcW w:w="4649" w:type="dxa"/>
          </w:tcPr>
          <w:p w:rsidR="0007208D" w:rsidRDefault="0007208D" w:rsidP="00D845DE"/>
          <w:p w:rsidR="00D845DE" w:rsidRPr="0092000A" w:rsidRDefault="00D845DE" w:rsidP="0092000A">
            <w:pPr>
              <w:jc w:val="center"/>
              <w:rPr>
                <w:b/>
                <w:bCs/>
                <w:color w:val="3C185B"/>
              </w:rPr>
            </w:pPr>
            <w:r w:rsidRPr="0092000A">
              <w:rPr>
                <w:b/>
                <w:bCs/>
                <w:color w:val="3C185B"/>
              </w:rPr>
              <w:t>Educational</w:t>
            </w:r>
          </w:p>
          <w:p w:rsidR="00D845DE" w:rsidRDefault="0092000A" w:rsidP="0092000A">
            <w:pPr>
              <w:jc w:val="center"/>
            </w:pPr>
            <w:r>
              <w:t>Level/type of entry qualification, skills, ability, knowledge, educational experiences, life and work experiences, and learning approaches</w:t>
            </w:r>
          </w:p>
          <w:p w:rsidR="0092000A" w:rsidRPr="0092000A" w:rsidRDefault="0092000A" w:rsidP="0092000A">
            <w:pPr>
              <w:jc w:val="center"/>
            </w:pPr>
          </w:p>
          <w:p w:rsidR="00D845DE" w:rsidRPr="0092000A" w:rsidRDefault="00D845DE" w:rsidP="0092000A">
            <w:pPr>
              <w:jc w:val="center"/>
              <w:rPr>
                <w:b/>
                <w:bCs/>
                <w:color w:val="3C185B"/>
              </w:rPr>
            </w:pPr>
            <w:r w:rsidRPr="0092000A">
              <w:rPr>
                <w:b/>
                <w:bCs/>
                <w:color w:val="3C185B"/>
              </w:rPr>
              <w:t>Dispositional</w:t>
            </w:r>
          </w:p>
          <w:p w:rsidR="00D845DE" w:rsidRDefault="0092000A" w:rsidP="0092000A">
            <w:pPr>
              <w:jc w:val="center"/>
            </w:pPr>
            <w:r>
              <w:t>Identity, self-esteem, confidence, motivation, aspirations, expectations, preferences, attitudes, assumptions, beliefs, emotional intelligence, maturity, learning styles, perspectives, interests, self-awareness, gender, sexuality</w:t>
            </w:r>
          </w:p>
          <w:p w:rsidR="0092000A" w:rsidRPr="0092000A" w:rsidRDefault="0092000A" w:rsidP="0092000A">
            <w:pPr>
              <w:jc w:val="center"/>
            </w:pPr>
          </w:p>
          <w:p w:rsidR="00D845DE" w:rsidRPr="0092000A" w:rsidRDefault="00D845DE" w:rsidP="0092000A">
            <w:pPr>
              <w:jc w:val="center"/>
              <w:rPr>
                <w:b/>
                <w:bCs/>
                <w:color w:val="3C185B"/>
              </w:rPr>
            </w:pPr>
            <w:r w:rsidRPr="0092000A">
              <w:rPr>
                <w:b/>
                <w:bCs/>
                <w:color w:val="3C185B"/>
              </w:rPr>
              <w:t>Circumstantial</w:t>
            </w:r>
          </w:p>
          <w:p w:rsidR="00D845DE" w:rsidRDefault="0092000A" w:rsidP="0092000A">
            <w:pPr>
              <w:jc w:val="center"/>
            </w:pPr>
            <w:r>
              <w:t>Age, disability, paid/voluntary employment, caring responsibilities, geographical location, access to IT and transport services, flexibility, time available, entitlements, financial background and means, and marital status</w:t>
            </w:r>
          </w:p>
          <w:p w:rsidR="0092000A" w:rsidRPr="0092000A" w:rsidRDefault="0092000A" w:rsidP="0092000A">
            <w:pPr>
              <w:jc w:val="center"/>
            </w:pPr>
          </w:p>
          <w:p w:rsidR="00D845DE" w:rsidRPr="0092000A" w:rsidRDefault="00D845DE" w:rsidP="0092000A">
            <w:pPr>
              <w:jc w:val="center"/>
              <w:rPr>
                <w:b/>
                <w:bCs/>
                <w:color w:val="3C185B"/>
              </w:rPr>
            </w:pPr>
            <w:r w:rsidRPr="0092000A">
              <w:rPr>
                <w:b/>
                <w:bCs/>
                <w:color w:val="3C185B"/>
              </w:rPr>
              <w:t>Cultural</w:t>
            </w:r>
          </w:p>
          <w:p w:rsidR="0092000A" w:rsidRPr="0092000A" w:rsidRDefault="0092000A" w:rsidP="0092000A">
            <w:pPr>
              <w:jc w:val="center"/>
            </w:pPr>
            <w:r>
              <w:t>Language, values, cultural capital, religion and belief, country of origin/residence, ethnicity/race, and social background</w:t>
            </w:r>
          </w:p>
        </w:tc>
        <w:tc>
          <w:tcPr>
            <w:tcW w:w="4650" w:type="dxa"/>
          </w:tcPr>
          <w:p w:rsidR="0007208D" w:rsidRDefault="0007208D" w:rsidP="00D845DE"/>
          <w:p w:rsidR="0092000A" w:rsidRPr="0092000A" w:rsidRDefault="0092000A" w:rsidP="0092000A">
            <w:pPr>
              <w:jc w:val="center"/>
              <w:rPr>
                <w:b/>
                <w:bCs/>
                <w:color w:val="2C55A2"/>
              </w:rPr>
            </w:pPr>
            <w:r w:rsidRPr="0092000A">
              <w:rPr>
                <w:b/>
                <w:bCs/>
                <w:color w:val="2C55A2"/>
              </w:rPr>
              <w:t>Purposeful</w:t>
            </w:r>
          </w:p>
          <w:p w:rsidR="0092000A" w:rsidRDefault="0092000A" w:rsidP="0092000A">
            <w:pPr>
              <w:jc w:val="center"/>
            </w:pPr>
            <w:r>
              <w:t>A place where faculty and students share academic goals and strengthen teaching and learning on campus</w:t>
            </w:r>
          </w:p>
          <w:p w:rsidR="0092000A" w:rsidRDefault="0092000A" w:rsidP="0092000A">
            <w:pPr>
              <w:jc w:val="center"/>
            </w:pPr>
          </w:p>
          <w:p w:rsidR="0092000A" w:rsidRPr="0092000A" w:rsidRDefault="0092000A" w:rsidP="0092000A">
            <w:pPr>
              <w:jc w:val="center"/>
              <w:rPr>
                <w:b/>
                <w:bCs/>
                <w:color w:val="2C55A2"/>
              </w:rPr>
            </w:pPr>
            <w:r w:rsidRPr="0092000A">
              <w:rPr>
                <w:b/>
                <w:bCs/>
                <w:color w:val="2C55A2"/>
              </w:rPr>
              <w:t>Open</w:t>
            </w:r>
          </w:p>
          <w:p w:rsidR="0092000A" w:rsidRDefault="0092000A" w:rsidP="0092000A">
            <w:pPr>
              <w:jc w:val="center"/>
            </w:pPr>
            <w:r>
              <w:t>A place where free speech is protected and civility powerfully affirmed</w:t>
            </w:r>
          </w:p>
          <w:p w:rsidR="0092000A" w:rsidRDefault="0092000A" w:rsidP="0092000A">
            <w:pPr>
              <w:jc w:val="center"/>
            </w:pPr>
          </w:p>
          <w:p w:rsidR="0092000A" w:rsidRPr="0092000A" w:rsidRDefault="0092000A" w:rsidP="0092000A">
            <w:pPr>
              <w:jc w:val="center"/>
              <w:rPr>
                <w:b/>
                <w:bCs/>
                <w:color w:val="2C55A2"/>
              </w:rPr>
            </w:pPr>
            <w:r w:rsidRPr="0092000A">
              <w:rPr>
                <w:b/>
                <w:bCs/>
                <w:color w:val="2C55A2"/>
              </w:rPr>
              <w:t>Just</w:t>
            </w:r>
          </w:p>
          <w:p w:rsidR="0092000A" w:rsidRDefault="0092000A" w:rsidP="0092000A">
            <w:pPr>
              <w:jc w:val="center"/>
            </w:pPr>
            <w:r>
              <w:t>A place where the sacredness of each person is honoured and where diversity is aggressively pursued</w:t>
            </w:r>
          </w:p>
          <w:p w:rsidR="0092000A" w:rsidRDefault="0092000A" w:rsidP="0092000A">
            <w:pPr>
              <w:jc w:val="center"/>
            </w:pPr>
          </w:p>
          <w:p w:rsidR="0092000A" w:rsidRPr="0092000A" w:rsidRDefault="0092000A" w:rsidP="0092000A">
            <w:pPr>
              <w:jc w:val="center"/>
              <w:rPr>
                <w:b/>
                <w:bCs/>
                <w:color w:val="2C55A2"/>
              </w:rPr>
            </w:pPr>
            <w:r w:rsidRPr="0092000A">
              <w:rPr>
                <w:b/>
                <w:bCs/>
                <w:color w:val="2C55A2"/>
              </w:rPr>
              <w:t>Disciplined</w:t>
            </w:r>
          </w:p>
          <w:p w:rsidR="0092000A" w:rsidRDefault="0092000A" w:rsidP="0092000A">
            <w:pPr>
              <w:jc w:val="center"/>
            </w:pPr>
            <w:r>
              <w:t>A place where individuals accept their obligations to the group and where well defined governance procedure guide behaviour for the common good</w:t>
            </w:r>
          </w:p>
          <w:p w:rsidR="0092000A" w:rsidRDefault="0092000A" w:rsidP="0092000A">
            <w:pPr>
              <w:jc w:val="center"/>
            </w:pPr>
          </w:p>
          <w:p w:rsidR="0092000A" w:rsidRPr="0092000A" w:rsidRDefault="0092000A" w:rsidP="0092000A">
            <w:pPr>
              <w:jc w:val="center"/>
              <w:rPr>
                <w:b/>
                <w:bCs/>
                <w:color w:val="2C55A2"/>
              </w:rPr>
            </w:pPr>
            <w:r w:rsidRPr="0092000A">
              <w:rPr>
                <w:b/>
                <w:bCs/>
                <w:color w:val="2C55A2"/>
              </w:rPr>
              <w:t>Caring</w:t>
            </w:r>
          </w:p>
          <w:p w:rsidR="0092000A" w:rsidRDefault="0092000A" w:rsidP="0092000A">
            <w:pPr>
              <w:jc w:val="center"/>
            </w:pPr>
            <w:r>
              <w:t>A place where the wellbeing of each member is sensitively supported and where service to others is encouraged</w:t>
            </w:r>
          </w:p>
          <w:p w:rsidR="0092000A" w:rsidRDefault="0092000A" w:rsidP="0092000A">
            <w:pPr>
              <w:jc w:val="center"/>
            </w:pPr>
          </w:p>
          <w:p w:rsidR="0092000A" w:rsidRPr="0092000A" w:rsidRDefault="0092000A" w:rsidP="0092000A">
            <w:pPr>
              <w:jc w:val="center"/>
              <w:rPr>
                <w:b/>
                <w:bCs/>
                <w:color w:val="2C55A2"/>
              </w:rPr>
            </w:pPr>
            <w:r w:rsidRPr="0092000A">
              <w:rPr>
                <w:b/>
                <w:bCs/>
                <w:color w:val="2C55A2"/>
              </w:rPr>
              <w:t>Celebrative</w:t>
            </w:r>
          </w:p>
          <w:p w:rsidR="0092000A" w:rsidRDefault="0092000A" w:rsidP="0092000A">
            <w:pPr>
              <w:jc w:val="center"/>
            </w:pPr>
            <w:r>
              <w:t>A place where the heritage of the institution is remembered and where rituals affirming tradition and change are shared</w:t>
            </w:r>
          </w:p>
          <w:p w:rsidR="0092000A" w:rsidRPr="0092000A" w:rsidRDefault="0092000A" w:rsidP="00D845DE"/>
        </w:tc>
      </w:tr>
      <w:tr w:rsidR="0092000A" w:rsidRPr="0007208D" w:rsidTr="0092000A">
        <w:trPr>
          <w:trHeight w:val="841"/>
        </w:trPr>
        <w:tc>
          <w:tcPr>
            <w:tcW w:w="4649" w:type="dxa"/>
            <w:shd w:val="clear" w:color="auto" w:fill="008E9C"/>
            <w:vAlign w:val="center"/>
          </w:tcPr>
          <w:p w:rsidR="0092000A" w:rsidRPr="0007208D" w:rsidRDefault="0092000A" w:rsidP="0092000A">
            <w:pPr>
              <w:jc w:val="center"/>
              <w:rPr>
                <w:color w:val="FFFFFF" w:themeColor="background1"/>
                <w:sz w:val="32"/>
                <w:szCs w:val="32"/>
              </w:rPr>
            </w:pPr>
            <w:r>
              <w:rPr>
                <w:color w:val="FFFFFF" w:themeColor="background1"/>
                <w:sz w:val="32"/>
                <w:szCs w:val="32"/>
              </w:rPr>
              <w:lastRenderedPageBreak/>
              <w:t xml:space="preserve">Establishing </w:t>
            </w:r>
            <w:r w:rsidRPr="0007208D">
              <w:rPr>
                <w:color w:val="FFFFFF" w:themeColor="background1"/>
                <w:sz w:val="32"/>
                <w:szCs w:val="32"/>
              </w:rPr>
              <w:t>Sense of Belonging</w:t>
            </w:r>
          </w:p>
        </w:tc>
        <w:tc>
          <w:tcPr>
            <w:tcW w:w="4649" w:type="dxa"/>
            <w:shd w:val="clear" w:color="auto" w:fill="3C185B"/>
            <w:vAlign w:val="center"/>
          </w:tcPr>
          <w:p w:rsidR="0092000A" w:rsidRPr="0007208D" w:rsidRDefault="0092000A" w:rsidP="0092000A">
            <w:pPr>
              <w:jc w:val="center"/>
              <w:rPr>
                <w:color w:val="FFFFFF" w:themeColor="background1"/>
                <w:sz w:val="32"/>
                <w:szCs w:val="32"/>
              </w:rPr>
            </w:pPr>
            <w:r>
              <w:rPr>
                <w:color w:val="FFFFFF" w:themeColor="background1"/>
                <w:sz w:val="32"/>
                <w:szCs w:val="32"/>
              </w:rPr>
              <w:t>Facilitating Inclusive Practice</w:t>
            </w:r>
          </w:p>
        </w:tc>
        <w:tc>
          <w:tcPr>
            <w:tcW w:w="4650" w:type="dxa"/>
            <w:shd w:val="clear" w:color="auto" w:fill="2C55A2"/>
            <w:vAlign w:val="center"/>
          </w:tcPr>
          <w:p w:rsidR="0092000A" w:rsidRPr="0007208D" w:rsidRDefault="0092000A" w:rsidP="0092000A">
            <w:pPr>
              <w:jc w:val="center"/>
              <w:rPr>
                <w:color w:val="FFFFFF" w:themeColor="background1"/>
                <w:sz w:val="32"/>
                <w:szCs w:val="32"/>
              </w:rPr>
            </w:pPr>
            <w:r>
              <w:rPr>
                <w:color w:val="FFFFFF" w:themeColor="background1"/>
                <w:sz w:val="32"/>
                <w:szCs w:val="32"/>
              </w:rPr>
              <w:t>Developing Communities</w:t>
            </w:r>
          </w:p>
        </w:tc>
      </w:tr>
      <w:tr w:rsidR="0092000A" w:rsidRPr="0092000A" w:rsidTr="0051029E">
        <w:trPr>
          <w:trHeight w:val="8068"/>
        </w:trPr>
        <w:tc>
          <w:tcPr>
            <w:tcW w:w="4649" w:type="dxa"/>
          </w:tcPr>
          <w:p w:rsidR="00861256" w:rsidRPr="00D845DE" w:rsidRDefault="00861256" w:rsidP="0051029E"/>
        </w:tc>
        <w:tc>
          <w:tcPr>
            <w:tcW w:w="4649" w:type="dxa"/>
          </w:tcPr>
          <w:p w:rsidR="00861256" w:rsidRPr="0092000A" w:rsidRDefault="00861256" w:rsidP="0051029E"/>
        </w:tc>
        <w:tc>
          <w:tcPr>
            <w:tcW w:w="4650" w:type="dxa"/>
          </w:tcPr>
          <w:p w:rsidR="0092000A" w:rsidRPr="0092000A" w:rsidRDefault="0092000A" w:rsidP="0051029E"/>
        </w:tc>
      </w:tr>
    </w:tbl>
    <w:p w:rsidR="007749E0" w:rsidRDefault="007749E0"/>
    <w:tbl>
      <w:tblPr>
        <w:tblStyle w:val="TableGrid"/>
        <w:tblW w:w="0" w:type="auto"/>
        <w:tblLook w:val="04A0" w:firstRow="1" w:lastRow="0" w:firstColumn="1" w:lastColumn="0" w:noHBand="0" w:noVBand="1"/>
      </w:tblPr>
      <w:tblGrid>
        <w:gridCol w:w="6898"/>
        <w:gridCol w:w="6898"/>
      </w:tblGrid>
      <w:tr w:rsidR="00C520A9" w:rsidTr="00674978">
        <w:trPr>
          <w:trHeight w:val="2705"/>
        </w:trPr>
        <w:tc>
          <w:tcPr>
            <w:tcW w:w="6898" w:type="dxa"/>
            <w:shd w:val="clear" w:color="auto" w:fill="auto"/>
            <w:vAlign w:val="center"/>
          </w:tcPr>
          <w:p w:rsidR="00C520A9" w:rsidRDefault="00C520A9" w:rsidP="00C520A9">
            <w:pPr>
              <w:jc w:val="center"/>
            </w:pPr>
            <w:r w:rsidRPr="00674978">
              <w:rPr>
                <w:sz w:val="40"/>
                <w:szCs w:val="40"/>
              </w:rPr>
              <w:t>Tutorial Session</w:t>
            </w:r>
            <w:r w:rsidR="00674978">
              <w:rPr>
                <w:sz w:val="40"/>
                <w:szCs w:val="40"/>
              </w:rPr>
              <w:t>s</w:t>
            </w:r>
          </w:p>
        </w:tc>
        <w:tc>
          <w:tcPr>
            <w:tcW w:w="6898" w:type="dxa"/>
            <w:shd w:val="clear" w:color="auto" w:fill="auto"/>
            <w:vAlign w:val="center"/>
          </w:tcPr>
          <w:p w:rsidR="00C520A9" w:rsidRDefault="00C520A9" w:rsidP="00674978">
            <w:pPr>
              <w:jc w:val="center"/>
            </w:pPr>
            <w:r w:rsidRPr="00674978">
              <w:rPr>
                <w:sz w:val="36"/>
                <w:szCs w:val="36"/>
              </w:rPr>
              <w:t xml:space="preserve">Student </w:t>
            </w:r>
            <w:r w:rsidR="00674978">
              <w:rPr>
                <w:sz w:val="36"/>
                <w:szCs w:val="36"/>
              </w:rPr>
              <w:t>Volunteer Scheme</w:t>
            </w:r>
          </w:p>
        </w:tc>
      </w:tr>
      <w:tr w:rsidR="00C520A9" w:rsidTr="00674978">
        <w:trPr>
          <w:trHeight w:val="2566"/>
        </w:trPr>
        <w:tc>
          <w:tcPr>
            <w:tcW w:w="6898" w:type="dxa"/>
            <w:vAlign w:val="center"/>
          </w:tcPr>
          <w:p w:rsidR="00C520A9" w:rsidRPr="00674978" w:rsidRDefault="00674978" w:rsidP="00C520A9">
            <w:pPr>
              <w:jc w:val="center"/>
              <w:rPr>
                <w:sz w:val="36"/>
                <w:szCs w:val="36"/>
              </w:rPr>
            </w:pPr>
            <w:r>
              <w:rPr>
                <w:sz w:val="40"/>
                <w:szCs w:val="40"/>
              </w:rPr>
              <w:t>Programme Induction Activity</w:t>
            </w:r>
          </w:p>
        </w:tc>
        <w:tc>
          <w:tcPr>
            <w:tcW w:w="6898" w:type="dxa"/>
            <w:vAlign w:val="center"/>
          </w:tcPr>
          <w:p w:rsidR="00C520A9" w:rsidRPr="00674978" w:rsidRDefault="00674978" w:rsidP="00C520A9">
            <w:pPr>
              <w:jc w:val="center"/>
              <w:rPr>
                <w:sz w:val="36"/>
                <w:szCs w:val="36"/>
              </w:rPr>
            </w:pPr>
            <w:r w:rsidRPr="00674978">
              <w:rPr>
                <w:sz w:val="40"/>
                <w:szCs w:val="40"/>
              </w:rPr>
              <w:t>Summer School</w:t>
            </w:r>
          </w:p>
        </w:tc>
      </w:tr>
      <w:tr w:rsidR="00C520A9" w:rsidTr="00674978">
        <w:trPr>
          <w:trHeight w:val="2881"/>
        </w:trPr>
        <w:tc>
          <w:tcPr>
            <w:tcW w:w="6898" w:type="dxa"/>
            <w:vAlign w:val="center"/>
          </w:tcPr>
          <w:p w:rsidR="00C520A9" w:rsidRPr="00674978" w:rsidRDefault="00674978" w:rsidP="00C520A9">
            <w:pPr>
              <w:jc w:val="center"/>
              <w:rPr>
                <w:sz w:val="40"/>
                <w:szCs w:val="40"/>
              </w:rPr>
            </w:pPr>
            <w:r>
              <w:rPr>
                <w:sz w:val="40"/>
                <w:szCs w:val="40"/>
              </w:rPr>
              <w:t xml:space="preserve">Assessed </w:t>
            </w:r>
            <w:r w:rsidRPr="00674978">
              <w:rPr>
                <w:sz w:val="40"/>
                <w:szCs w:val="40"/>
              </w:rPr>
              <w:t>Group Work</w:t>
            </w:r>
          </w:p>
        </w:tc>
        <w:tc>
          <w:tcPr>
            <w:tcW w:w="6898" w:type="dxa"/>
            <w:vAlign w:val="center"/>
          </w:tcPr>
          <w:p w:rsidR="00C520A9" w:rsidRPr="00674978" w:rsidRDefault="00674978" w:rsidP="00C520A9">
            <w:pPr>
              <w:jc w:val="center"/>
              <w:rPr>
                <w:sz w:val="40"/>
                <w:szCs w:val="40"/>
              </w:rPr>
            </w:pPr>
            <w:r>
              <w:rPr>
                <w:sz w:val="40"/>
                <w:szCs w:val="40"/>
              </w:rPr>
              <w:t>Online Virtual Learning Environment (VLE)</w:t>
            </w:r>
          </w:p>
        </w:tc>
      </w:tr>
    </w:tbl>
    <w:p w:rsidR="005B0318" w:rsidRDefault="005B0318"/>
    <w:p w:rsidR="00C520A9" w:rsidRDefault="005B0318" w:rsidP="005B0318">
      <w:r>
        <w:br w:type="page"/>
      </w:r>
      <w:r>
        <w:rPr>
          <w:noProof/>
        </w:rPr>
        <w:lastRenderedPageBreak/>
        <w:drawing>
          <wp:inline distT="0" distB="0" distL="0" distR="0">
            <wp:extent cx="2600325" cy="2600325"/>
            <wp:effectExtent l="0" t="0" r="0" b="9525"/>
            <wp:docPr id="2" name="Picture 2" descr="\\adir.hull.ac.uk\home\485\485417\ch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ir.hull.ac.uk\home\485\485417\che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r w:rsidR="005C02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04.75pt">
            <v:imagedata r:id="rId8" o:title="reading"/>
          </v:shape>
        </w:pict>
      </w:r>
      <w:r w:rsidR="005C02B6">
        <w:pict>
          <v:shape id="_x0000_i1026" type="#_x0000_t75" style="width:204.75pt;height:204.75pt">
            <v:imagedata r:id="rId9" o:title="happy"/>
          </v:shape>
        </w:pict>
      </w:r>
    </w:p>
    <w:p w:rsidR="005B0318" w:rsidRDefault="005B0318" w:rsidP="005B0318">
      <w:r>
        <w:rPr>
          <w:noProof/>
        </w:rPr>
        <w:drawing>
          <wp:inline distT="0" distB="0" distL="0" distR="0">
            <wp:extent cx="2600325" cy="2600325"/>
            <wp:effectExtent l="0" t="0" r="9525" b="9525"/>
            <wp:docPr id="3" name="Picture 3" descr="\\adir.hull.ac.uk\home\485\485417\dan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ir.hull.ac.uk\home\485\485417\danc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r>
        <w:rPr>
          <w:noProof/>
        </w:rPr>
        <w:drawing>
          <wp:inline distT="0" distB="0" distL="0" distR="0">
            <wp:extent cx="2600325" cy="2600325"/>
            <wp:effectExtent l="0" t="0" r="9525" b="0"/>
            <wp:docPr id="4" name="Picture 4" descr="\\adir.hull.ac.uk\home\485\485417\phone-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ir.hull.ac.uk\home\485\485417\phone-c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r>
        <w:rPr>
          <w:noProof/>
        </w:rPr>
        <w:drawing>
          <wp:inline distT="0" distB="0" distL="0" distR="0">
            <wp:extent cx="2600325" cy="2600325"/>
            <wp:effectExtent l="0" t="0" r="0" b="9525"/>
            <wp:docPr id="5" name="Picture 5" descr="\\adir.hull.ac.uk\home\485\485417\birth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ir.hull.ac.uk\home\485\485417\birthda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sectPr w:rsidR="005B0318" w:rsidSect="0007208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0A9" w:rsidRDefault="00C520A9" w:rsidP="00C520A9">
      <w:pPr>
        <w:spacing w:after="0" w:line="240" w:lineRule="auto"/>
      </w:pPr>
      <w:r>
        <w:separator/>
      </w:r>
    </w:p>
  </w:endnote>
  <w:endnote w:type="continuationSeparator" w:id="0">
    <w:p w:rsidR="00C520A9" w:rsidRDefault="00C520A9" w:rsidP="00C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A9" w:rsidRPr="00C520A9" w:rsidRDefault="005B0318" w:rsidP="00C520A9">
    <w:pPr>
      <w:pStyle w:val="Footer"/>
      <w:ind w:right="700"/>
      <w:rPr>
        <w:sz w:val="20"/>
        <w:szCs w:val="20"/>
        <w:lang w:val="sv-SE"/>
      </w:rPr>
    </w:pPr>
    <w:hyperlink r:id="rId1" w:history="1">
      <w:r w:rsidR="00C520A9" w:rsidRPr="00C520A9">
        <w:rPr>
          <w:rStyle w:val="Hyperlink"/>
          <w:sz w:val="20"/>
          <w:szCs w:val="20"/>
          <w:lang w:val="sv-SE"/>
        </w:rPr>
        <w:t>SETT@hull.ac.uk</w:t>
      </w:r>
    </w:hyperlink>
    <w:r w:rsidR="00C520A9" w:rsidRPr="00C520A9">
      <w:rPr>
        <w:sz w:val="20"/>
        <w:szCs w:val="20"/>
        <w:lang w:val="sv-SE"/>
      </w:rPr>
      <w:t xml:space="preserve">                                                                                      </w:t>
    </w:r>
    <w:r w:rsidR="00C520A9">
      <w:rPr>
        <w:sz w:val="20"/>
        <w:szCs w:val="20"/>
        <w:lang w:val="sv-SE"/>
      </w:rPr>
      <w:tab/>
    </w:r>
    <w:r w:rsidR="00C520A9">
      <w:rPr>
        <w:sz w:val="20"/>
        <w:szCs w:val="20"/>
        <w:lang w:val="sv-SE"/>
      </w:rPr>
      <w:tab/>
      <w:t xml:space="preserve">       </w:t>
    </w:r>
    <w:r w:rsidR="00C520A9" w:rsidRPr="00C520A9">
      <w:rPr>
        <w:sz w:val="20"/>
        <w:szCs w:val="20"/>
        <w:lang w:val="sv-SE"/>
      </w:rPr>
      <w:t>Emma Palmer, Student Engagement Officer</w:t>
    </w:r>
  </w:p>
  <w:p w:rsidR="00C520A9" w:rsidRPr="00C520A9" w:rsidRDefault="00C520A9" w:rsidP="00C520A9">
    <w:pPr>
      <w:pStyle w:val="Footer"/>
      <w:ind w:right="1000"/>
      <w:rPr>
        <w:sz w:val="20"/>
        <w:szCs w:val="20"/>
      </w:rPr>
    </w:pPr>
    <w:r w:rsidRPr="00C520A9">
      <w:rPr>
        <w:sz w:val="20"/>
        <w:szCs w:val="20"/>
      </w:rPr>
      <w:t>@</w:t>
    </w:r>
    <w:proofErr w:type="spellStart"/>
    <w:r w:rsidRPr="00C520A9">
      <w:rPr>
        <w:sz w:val="20"/>
        <w:szCs w:val="20"/>
      </w:rPr>
      <w:t>SETT_UoH</w:t>
    </w:r>
    <w:proofErr w:type="spellEnd"/>
    <w:r>
      <w:rPr>
        <w:sz w:val="20"/>
        <w:szCs w:val="20"/>
      </w:rPr>
      <w:tab/>
    </w:r>
    <w:r>
      <w:rPr>
        <w:sz w:val="20"/>
        <w:szCs w:val="20"/>
      </w:rPr>
      <w:tab/>
    </w:r>
    <w:r>
      <w:rPr>
        <w:sz w:val="20"/>
        <w:szCs w:val="20"/>
      </w:rPr>
      <w:tab/>
      <w:t xml:space="preserve">       Student Engagement &amp; Transition Team</w:t>
    </w:r>
  </w:p>
  <w:p w:rsidR="00C520A9" w:rsidRPr="00C520A9" w:rsidRDefault="00C520A9" w:rsidP="00C520A9">
    <w:pPr>
      <w:pStyle w:val="Footer"/>
      <w:ind w:right="700"/>
      <w:rPr>
        <w:sz w:val="20"/>
        <w:szCs w:val="20"/>
      </w:rPr>
    </w:pPr>
    <w:r>
      <w:rPr>
        <w:sz w:val="20"/>
        <w:szCs w:val="20"/>
      </w:rPr>
      <w:t xml:space="preserve"> </w:t>
    </w:r>
    <w:r w:rsidRPr="00C520A9">
      <w:rPr>
        <w:sz w:val="20"/>
        <w:szCs w:val="20"/>
      </w:rPr>
      <w:t>#</w:t>
    </w:r>
    <w:proofErr w:type="spellStart"/>
    <w:r w:rsidRPr="00C520A9">
      <w:rPr>
        <w:sz w:val="20"/>
        <w:szCs w:val="20"/>
      </w:rPr>
      <w:t>UoHinclusion</w:t>
    </w:r>
    <w:proofErr w:type="spellEnd"/>
    <w:r w:rsidRPr="00C520A9">
      <w:rPr>
        <w:sz w:val="20"/>
        <w:szCs w:val="20"/>
      </w:rPr>
      <w:tab/>
    </w:r>
    <w:r w:rsidRPr="00C520A9">
      <w:rPr>
        <w:sz w:val="20"/>
        <w:szCs w:val="20"/>
      </w:rPr>
      <w:tab/>
    </w:r>
    <w:r w:rsidRPr="00C520A9">
      <w:rPr>
        <w:sz w:val="20"/>
        <w:szCs w:val="20"/>
      </w:rPr>
      <w:tab/>
    </w:r>
    <w:r>
      <w:rPr>
        <w:sz w:val="20"/>
        <w:szCs w:val="20"/>
      </w:rPr>
      <w:t xml:space="preserve">       </w:t>
    </w:r>
    <w:r w:rsidRPr="00C520A9">
      <w:rPr>
        <w:sz w:val="20"/>
        <w:szCs w:val="20"/>
      </w:rPr>
      <w:t>Workshop 5: Monday 25</w:t>
    </w:r>
    <w:r w:rsidRPr="00C520A9">
      <w:rPr>
        <w:sz w:val="20"/>
        <w:szCs w:val="20"/>
        <w:vertAlign w:val="superscript"/>
      </w:rPr>
      <w:t>th</w:t>
    </w:r>
    <w:r w:rsidRPr="00C520A9">
      <w:rPr>
        <w:sz w:val="20"/>
        <w:szCs w:val="20"/>
      </w:rPr>
      <w:t xml:space="preserve">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0A9" w:rsidRDefault="00C520A9" w:rsidP="00C520A9">
      <w:pPr>
        <w:spacing w:after="0" w:line="240" w:lineRule="auto"/>
      </w:pPr>
      <w:r>
        <w:separator/>
      </w:r>
    </w:p>
  </w:footnote>
  <w:footnote w:type="continuationSeparator" w:id="0">
    <w:p w:rsidR="00C520A9" w:rsidRDefault="00C520A9" w:rsidP="00C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A9" w:rsidRDefault="00C520A9">
    <w:pPr>
      <w:pStyle w:val="Heade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-135255</wp:posOffset>
          </wp:positionV>
          <wp:extent cx="1923111" cy="447675"/>
          <wp:effectExtent l="0" t="0" r="1270" b="0"/>
          <wp:wrapThrough wrapText="bothSides">
            <wp:wrapPolygon edited="0">
              <wp:start x="856" y="0"/>
              <wp:lineTo x="0" y="4596"/>
              <wp:lineTo x="0" y="15626"/>
              <wp:lineTo x="856" y="20221"/>
              <wp:lineTo x="4066" y="20221"/>
              <wp:lineTo x="15836" y="20221"/>
              <wp:lineTo x="15836" y="14706"/>
              <wp:lineTo x="21400" y="14706"/>
              <wp:lineTo x="21400" y="919"/>
              <wp:lineTo x="4066" y="0"/>
              <wp:lineTo x="8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87979561431203850.png"/>
                  <pic:cNvPicPr/>
                </pic:nvPicPr>
                <pic:blipFill>
                  <a:blip r:embed="rId1">
                    <a:extLst>
                      <a:ext uri="{28A0092B-C50C-407E-A947-70E740481C1C}">
                        <a14:useLocalDpi xmlns:a14="http://schemas.microsoft.com/office/drawing/2010/main" val="0"/>
                      </a:ext>
                    </a:extLst>
                  </a:blip>
                  <a:stretch>
                    <a:fillRect/>
                  </a:stretch>
                </pic:blipFill>
                <pic:spPr>
                  <a:xfrm>
                    <a:off x="0" y="0"/>
                    <a:ext cx="1923111"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307D7"/>
    <w:multiLevelType w:val="hybridMultilevel"/>
    <w:tmpl w:val="19B6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8D"/>
    <w:rsid w:val="0007208D"/>
    <w:rsid w:val="0051029E"/>
    <w:rsid w:val="005B0318"/>
    <w:rsid w:val="005C02B6"/>
    <w:rsid w:val="00674978"/>
    <w:rsid w:val="007749E0"/>
    <w:rsid w:val="00861256"/>
    <w:rsid w:val="0092000A"/>
    <w:rsid w:val="00C520A9"/>
    <w:rsid w:val="00D845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CC5CEB0-05C4-4D24-AA6D-E9F484C8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00A"/>
    <w:pPr>
      <w:ind w:left="720"/>
      <w:contextualSpacing/>
    </w:pPr>
  </w:style>
  <w:style w:type="paragraph" w:styleId="Header">
    <w:name w:val="header"/>
    <w:basedOn w:val="Normal"/>
    <w:link w:val="HeaderChar"/>
    <w:uiPriority w:val="99"/>
    <w:unhideWhenUsed/>
    <w:rsid w:val="00C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0A9"/>
  </w:style>
  <w:style w:type="paragraph" w:styleId="Footer">
    <w:name w:val="footer"/>
    <w:basedOn w:val="Normal"/>
    <w:link w:val="FooterChar"/>
    <w:uiPriority w:val="99"/>
    <w:unhideWhenUsed/>
    <w:rsid w:val="00C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0A9"/>
  </w:style>
  <w:style w:type="character" w:styleId="Hyperlink">
    <w:name w:val="Hyperlink"/>
    <w:basedOn w:val="DefaultParagraphFont"/>
    <w:uiPriority w:val="99"/>
    <w:unhideWhenUsed/>
    <w:rsid w:val="00C52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4632">
      <w:bodyDiv w:val="1"/>
      <w:marLeft w:val="0"/>
      <w:marRight w:val="0"/>
      <w:marTop w:val="0"/>
      <w:marBottom w:val="0"/>
      <w:divBdr>
        <w:top w:val="none" w:sz="0" w:space="0" w:color="auto"/>
        <w:left w:val="none" w:sz="0" w:space="0" w:color="auto"/>
        <w:bottom w:val="none" w:sz="0" w:space="0" w:color="auto"/>
        <w:right w:val="none" w:sz="0" w:space="0" w:color="auto"/>
      </w:divBdr>
    </w:div>
    <w:div w:id="958031411">
      <w:bodyDiv w:val="1"/>
      <w:marLeft w:val="0"/>
      <w:marRight w:val="0"/>
      <w:marTop w:val="0"/>
      <w:marBottom w:val="0"/>
      <w:divBdr>
        <w:top w:val="none" w:sz="0" w:space="0" w:color="auto"/>
        <w:left w:val="none" w:sz="0" w:space="0" w:color="auto"/>
        <w:bottom w:val="none" w:sz="0" w:space="0" w:color="auto"/>
        <w:right w:val="none" w:sz="0" w:space="0" w:color="auto"/>
      </w:divBdr>
    </w:div>
    <w:div w:id="13945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TT@hu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7CB804C</Template>
  <TotalTime>0</TotalTime>
  <Pages>5</Pages>
  <Words>845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Palmer</dc:creator>
  <cp:keywords/>
  <dc:description/>
  <cp:lastModifiedBy>Teunissen, A. (Astrid)</cp:lastModifiedBy>
  <cp:revision>2</cp:revision>
  <dcterms:created xsi:type="dcterms:W3CDTF">2018-07-30T08:09:00Z</dcterms:created>
  <dcterms:modified xsi:type="dcterms:W3CDTF">2018-07-30T08:09:00Z</dcterms:modified>
</cp:coreProperties>
</file>